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654B9" w14:textId="5469040F" w:rsidR="00057D31" w:rsidRPr="001C7F04" w:rsidRDefault="00121FA6" w:rsidP="00121FA6">
      <w:pPr>
        <w:jc w:val="right"/>
        <w:rPr>
          <w:rFonts w:ascii="Tahoma" w:hAnsi="Tahoma" w:cs="Tahoma"/>
          <w:b/>
          <w:bCs/>
        </w:rPr>
      </w:pPr>
      <w:r w:rsidRPr="001C7F04">
        <w:rPr>
          <w:noProof/>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If you request a centre review or an awarding organisation </w:t>
            </w:r>
            <w:proofErr w:type="gramStart"/>
            <w:r>
              <w:rPr>
                <w:rFonts w:ascii="Montserrat-Regular" w:hAnsi="Montserrat-Regular" w:cs="Montserrat-Regular"/>
                <w:color w:val="0D0D0B"/>
                <w:sz w:val="20"/>
                <w:szCs w:val="20"/>
              </w:rPr>
              <w:t>appeal</w:t>
            </w:r>
            <w:proofErr w:type="gramEnd"/>
            <w:r>
              <w:rPr>
                <w:rFonts w:ascii="Montserrat-Regular" w:hAnsi="Montserrat-Regular" w:cs="Montserrat-Regular"/>
                <w:color w:val="0D0D0B"/>
                <w:sz w:val="20"/>
                <w:szCs w:val="20"/>
              </w:rPr>
              <w:t xml:space="preserve">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a finding has been made you cannot withdraw your request for a centre review or appeal. If your grade has been </w:t>
            </w:r>
            <w:proofErr w:type="gramStart"/>
            <w:r>
              <w:rPr>
                <w:rFonts w:ascii="Montserrat-Regular" w:hAnsi="Montserrat-Regular" w:cs="Montserrat-Regular"/>
                <w:color w:val="0D0D0B"/>
                <w:sz w:val="20"/>
                <w:szCs w:val="20"/>
              </w:rPr>
              <w:t>lowered</w:t>
            </w:r>
            <w:proofErr w:type="gramEnd"/>
            <w:r>
              <w:rPr>
                <w:rFonts w:ascii="Montserrat-Regular" w:hAnsi="Montserrat-Regular" w:cs="Montserrat-Regular"/>
                <w:color w:val="0D0D0B"/>
                <w:sz w:val="20"/>
                <w:szCs w:val="20"/>
              </w:rPr>
              <w:t xml:space="preserve">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xml:space="preserve">. Priority appeals that aren’t submitted to the awarding organisation by 23 August 2021 will still be treated as a </w:t>
            </w:r>
            <w:proofErr w:type="gramStart"/>
            <w:r>
              <w:rPr>
                <w:rFonts w:ascii="Montserrat-Regular" w:hAnsi="Montserrat-Regular" w:cs="Montserrat-Regular"/>
                <w:color w:val="0D0D0B"/>
                <w:sz w:val="20"/>
                <w:szCs w:val="20"/>
              </w:rPr>
              <w:t>priority</w:t>
            </w:r>
            <w:proofErr w:type="gramEnd"/>
            <w:r>
              <w:rPr>
                <w:rFonts w:ascii="Montserrat-Regular" w:hAnsi="Montserrat-Regular" w:cs="Montserrat-Regular"/>
                <w:color w:val="0D0D0B"/>
                <w:sz w:val="20"/>
                <w:szCs w:val="20"/>
              </w:rPr>
              <w:t xml:space="preserve">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w:t>
            </w:r>
            <w:proofErr w:type="gramStart"/>
            <w:r>
              <w:rPr>
                <w:rFonts w:ascii="Montserrat-Regular" w:hAnsi="Montserrat-Regular" w:cs="Montserrat-Regular"/>
                <w:color w:val="0D0D0B"/>
                <w:sz w:val="20"/>
                <w:szCs w:val="20"/>
              </w:rPr>
              <w:t>i.e.</w:t>
            </w:r>
            <w:proofErr w:type="gramEnd"/>
            <w:r>
              <w:rPr>
                <w:rFonts w:ascii="Montserrat-Regular" w:hAnsi="Montserrat-Regular" w:cs="Montserrat-Regular"/>
                <w:color w:val="0D0D0B"/>
                <w:sz w:val="20"/>
                <w:szCs w:val="20"/>
              </w:rPr>
              <w:t xml:space="preserv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UCAS personal ID is the </w:t>
            </w:r>
            <w:proofErr w:type="gramStart"/>
            <w:r>
              <w:rPr>
                <w:rFonts w:ascii="Montserrat-Regular" w:hAnsi="Montserrat-Regular" w:cs="Montserrat-Regular"/>
                <w:color w:val="0D0D0B"/>
                <w:sz w:val="20"/>
                <w:szCs w:val="20"/>
              </w:rPr>
              <w:t>10 digit</w:t>
            </w:r>
            <w:proofErr w:type="gramEnd"/>
            <w:r>
              <w:rPr>
                <w:rFonts w:ascii="Montserrat-Regular" w:hAnsi="Montserrat-Regular" w:cs="Montserrat-Regular"/>
                <w:color w:val="0D0D0B"/>
                <w:sz w:val="20"/>
                <w:szCs w:val="20"/>
              </w:rPr>
              <w:t xml:space="preserve">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1FF76492"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0D9E7D6"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2615735C"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2A002C9"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 xml:space="preserve">Qualification title </w:t>
            </w:r>
            <w:proofErr w:type="gramStart"/>
            <w:r w:rsidRPr="00AC09F3">
              <w:rPr>
                <w:rFonts w:ascii="Montserrat-Regular" w:hAnsi="Montserrat-Regular" w:cs="Montserrat-Regular"/>
                <w:color w:val="0D0D0B"/>
                <w:sz w:val="20"/>
                <w:szCs w:val="20"/>
              </w:rPr>
              <w:t>e.g.</w:t>
            </w:r>
            <w:proofErr w:type="gramEnd"/>
            <w:r w:rsidRPr="00AC09F3">
              <w:rPr>
                <w:rFonts w:ascii="Montserrat-Regular" w:hAnsi="Montserrat-Regular" w:cs="Montserrat-Regular"/>
                <w:color w:val="0D0D0B"/>
                <w:sz w:val="20"/>
                <w:szCs w:val="20"/>
              </w:rPr>
              <w:t xml:space="preserve"> AQA GCSE English Language</w:t>
            </w:r>
          </w:p>
        </w:tc>
        <w:tc>
          <w:tcPr>
            <w:tcW w:w="6379" w:type="dxa"/>
            <w:gridSpan w:val="3"/>
          </w:tcPr>
          <w:p w14:paraId="7AD12069" w14:textId="6DE5DB28"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proofErr w:type="gramStart"/>
            <w:r w:rsidRPr="00AC09F3">
              <w:rPr>
                <w:rFonts w:ascii="Montserrat-Regular" w:hAnsi="Montserrat-Regular" w:cs="Montserrat-Regular"/>
                <w:color w:val="0D0D0B"/>
                <w:sz w:val="20"/>
                <w:szCs w:val="20"/>
              </w:rPr>
              <w:t>e.g.</w:t>
            </w:r>
            <w:proofErr w:type="gramEnd"/>
            <w:r w:rsidRPr="00AC09F3">
              <w:rPr>
                <w:rFonts w:ascii="Montserrat-Regular" w:hAnsi="Montserrat-Regular" w:cs="Montserrat-Regular"/>
                <w:color w:val="0D0D0B"/>
                <w:sz w:val="20"/>
                <w:szCs w:val="20"/>
              </w:rPr>
              <w:t xml:space="preserve">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p w14:paraId="10C90888" w14:textId="0B590BF2" w:rsidR="00AC09F3" w:rsidRDefault="00AC09F3" w:rsidP="008F4794">
      <w:pPr>
        <w:spacing w:after="0" w:line="240" w:lineRule="auto"/>
        <w:rPr>
          <w:rFonts w:ascii="Tahoma" w:eastAsia="Calibri" w:hAnsi="Tahoma" w:cs="Tahoma"/>
          <w:sz w:val="20"/>
          <w:szCs w:val="20"/>
        </w:rPr>
      </w:pPr>
    </w:p>
    <w:p w14:paraId="722C01C7" w14:textId="1D4D1858" w:rsidR="00AC09F3" w:rsidRDefault="00AC09F3" w:rsidP="008F4794">
      <w:pPr>
        <w:spacing w:after="0" w:line="240" w:lineRule="auto"/>
        <w:rPr>
          <w:rFonts w:ascii="Tahoma" w:eastAsia="Calibri" w:hAnsi="Tahoma" w:cs="Tahoma"/>
          <w:sz w:val="20"/>
          <w:szCs w:val="20"/>
        </w:rPr>
      </w:pPr>
    </w:p>
    <w:p w14:paraId="31ABB4EC" w14:textId="23488A1E" w:rsidR="00AC09F3" w:rsidRDefault="00AC09F3" w:rsidP="008F4794">
      <w:pPr>
        <w:spacing w:after="0" w:line="240" w:lineRule="auto"/>
        <w:rPr>
          <w:rFonts w:ascii="Tahoma" w:eastAsia="Calibri" w:hAnsi="Tahoma" w:cs="Tahoma"/>
          <w:sz w:val="20"/>
          <w:szCs w:val="20"/>
        </w:rPr>
      </w:pPr>
    </w:p>
    <w:p w14:paraId="30E76635" w14:textId="3848D9C5" w:rsidR="00AC09F3" w:rsidRDefault="00AC09F3" w:rsidP="008F4794">
      <w:pPr>
        <w:spacing w:after="0" w:line="240" w:lineRule="auto"/>
        <w:rPr>
          <w:rFonts w:ascii="Tahoma" w:eastAsia="Calibri" w:hAnsi="Tahoma" w:cs="Tahoma"/>
          <w:sz w:val="20"/>
          <w:szCs w:val="20"/>
        </w:rPr>
      </w:pPr>
    </w:p>
    <w:p w14:paraId="5DD71E3A" w14:textId="77777777" w:rsidR="00AC09F3" w:rsidRDefault="00AC09F3" w:rsidP="008F4794">
      <w:pPr>
        <w:spacing w:after="0" w:line="240" w:lineRule="auto"/>
        <w:rPr>
          <w:rFonts w:ascii="Tahoma" w:eastAsia="Calibri" w:hAnsi="Tahoma" w:cs="Tahoma"/>
          <w:sz w:val="20"/>
          <w:szCs w:val="20"/>
        </w:rPr>
      </w:pPr>
    </w:p>
    <w:p w14:paraId="57C5CC1C" w14:textId="5A343F89" w:rsidR="00176321" w:rsidRDefault="00176321" w:rsidP="008F4794">
      <w:pPr>
        <w:spacing w:after="0" w:line="240" w:lineRule="auto"/>
        <w:rPr>
          <w:rFonts w:ascii="Tahoma" w:eastAsia="Calibri" w:hAnsi="Tahoma" w:cs="Tahoma"/>
          <w:sz w:val="20"/>
          <w:szCs w:val="20"/>
        </w:rPr>
      </w:pPr>
    </w:p>
    <w:p w14:paraId="21766428" w14:textId="77777777"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tick one or </w:t>
            </w:r>
            <w:proofErr w:type="gramStart"/>
            <w:r>
              <w:rPr>
                <w:rFonts w:ascii="Montserrat-Regular" w:hAnsi="Montserrat-Regular" w:cs="Montserrat-Regular"/>
                <w:color w:val="0D0D0B"/>
                <w:sz w:val="18"/>
                <w:szCs w:val="18"/>
              </w:rPr>
              <w:t>both of the options</w:t>
            </w:r>
            <w:proofErr w:type="gramEnd"/>
            <w:r>
              <w:rPr>
                <w:rFonts w:ascii="Montserrat-Regular" w:hAnsi="Montserrat-Regular" w:cs="Montserrat-Regular"/>
                <w:color w:val="0D0D0B"/>
                <w:sz w:val="18"/>
                <w:szCs w:val="18"/>
              </w:rPr>
              <w:t xml:space="preserve"> if they apply to your request. If you don’t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1B9579F9" w14:textId="50750CCA" w:rsidR="000B0261" w:rsidRDefault="000B0261" w:rsidP="008F4794">
            <w:pPr>
              <w:spacing w:after="0" w:line="240" w:lineRule="auto"/>
              <w:rPr>
                <w:rFonts w:ascii="Tahoma" w:eastAsia="Calibri" w:hAnsi="Tahoma" w:cs="Tahoma"/>
                <w:sz w:val="20"/>
                <w:szCs w:val="20"/>
              </w:rPr>
            </w:pPr>
          </w:p>
          <w:p w14:paraId="3578783A" w14:textId="69A9108D" w:rsidR="000B0261" w:rsidRDefault="000B0261" w:rsidP="008F4794">
            <w:pPr>
              <w:spacing w:after="0" w:line="240" w:lineRule="auto"/>
              <w:rPr>
                <w:rFonts w:ascii="Tahoma" w:eastAsia="Calibri" w:hAnsi="Tahoma" w:cs="Tahoma"/>
                <w:sz w:val="20"/>
                <w:szCs w:val="20"/>
              </w:rPr>
            </w:pPr>
          </w:p>
          <w:p w14:paraId="7E145AA1" w14:textId="77777777" w:rsidR="000B0261" w:rsidRDefault="000B0261"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lastRenderedPageBreak/>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68D170F7" w14:textId="77777777" w:rsidR="00094818" w:rsidRPr="001C7F04" w:rsidRDefault="00094818" w:rsidP="00094818">
            <w:pPr>
              <w:spacing w:after="0" w:line="240" w:lineRule="auto"/>
              <w:ind w:left="720"/>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w:t>
            </w:r>
            <w:proofErr w:type="gramStart"/>
            <w:r w:rsidR="00094818" w:rsidRPr="00C95F3C">
              <w:rPr>
                <w:rFonts w:ascii="Montserrat" w:eastAsia="Calibri" w:hAnsi="Montserrat" w:cs="Tahoma"/>
                <w:b/>
                <w:sz w:val="18"/>
                <w:szCs w:val="20"/>
              </w:rPr>
              <w:t>signature</w:t>
            </w:r>
            <w:proofErr w:type="gramEnd"/>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 xml:space="preserve">Please provide a short explanation of the evidence that you have reviewed.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Outline the centre’s findings from the centre review </w:t>
            </w: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procedural or administrative error and if relevant, details of the error.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lastRenderedPageBreak/>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0B0261"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 xml:space="preserve">Student </w:t>
            </w:r>
            <w:proofErr w:type="gramStart"/>
            <w:r w:rsidRPr="007F0BF3">
              <w:rPr>
                <w:rFonts w:ascii="Montserrat" w:eastAsia="Calibri" w:hAnsi="Montserrat" w:cs="Tahoma"/>
                <w:b/>
                <w:sz w:val="18"/>
                <w:szCs w:val="20"/>
              </w:rPr>
              <w:t>signature</w:t>
            </w:r>
            <w:proofErr w:type="gramEnd"/>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80437"/>
    <w:rsid w:val="00094818"/>
    <w:rsid w:val="000A4D10"/>
    <w:rsid w:val="000A5940"/>
    <w:rsid w:val="000B0261"/>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1CC25-4611-49A8-81A7-89744F95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Mrs K Dunn (STR)</cp:lastModifiedBy>
  <cp:revision>2</cp:revision>
  <dcterms:created xsi:type="dcterms:W3CDTF">2021-08-09T10:19:00Z</dcterms:created>
  <dcterms:modified xsi:type="dcterms:W3CDTF">2021-08-09T10:19:00Z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